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JHSC Certification Study Reference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JHSC Certification Study Reference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Preparation for Part 1 and Part 2 Certification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KEY TOPICS FOR PART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Health and Safety Legislation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Occupational Health and Safety Act (OHSA)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Regulations (O. Reg. 851/90, O. Reg. 1051/91, etc.)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Due diligence concept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Rights and responsibilities of all parties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Hazard Identification and Assessment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Types of workplace hazards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Risk assessment methodology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Hazard control hierarchy (elimination, substitution, engineering, administrative, PPE)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Incident prevention strategies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Internal Responsibility System (IRS)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Roles of employers, supervisors, and workers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Duties under the OHSA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Joint Health and Safety Committee structure and functions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Worker participation in safety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Workplace Inspection and Reporting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Purpose and procedures for workplace inspections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Hazard identification during inspections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Corrective action tracking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Incident reporting requirements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KEY TOPICS FOR PART 2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Occupational Health and Safety Management Systems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Elements of an OH&amp;S management system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Planning and implementation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Performance evaluation and improvement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Documentation and record keeping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Industrial Hygiene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Occupational exposure limits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Environmental monitoring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Biological and chemical hazards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Control measures and PPE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Ergonomics and Musculoskeletal Disorders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Workplace assessment for ergonomic hazards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Prevention strategies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Workstation design principles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Early intervention for injuries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Mental Health and Psychological Health and Safety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Recognition of psychosocial hazards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Workplace assessment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Organizational support strategies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Accommodation and return to work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Emergency Response and Preparedness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Emergency preparedness planning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Evacuation procedures and drills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First aid and emergency response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Post-incident procedures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STUDY TIPS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all legislation and regulations thoroughly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Understand the “why” behind each requirement, not just the “what”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Study workplace examples and case studies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Practice applying concepts to real-world scenarios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Review exam sample questions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Focus on understanding the purpose of H&amp;S programs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Know the definitions of key terms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Understand the difference between Part 1 and Part 2 focus areas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